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5A03" w:rsidRPr="00142DA3" w:rsidRDefault="00275A03" w:rsidP="00275A03">
      <w:pPr>
        <w:rPr>
          <w:rFonts w:ascii="Arial" w:hAnsi="Arial" w:cs="Arial"/>
          <w:b/>
          <w:bCs/>
          <w:sz w:val="24"/>
          <w:lang w:val="de-CH"/>
        </w:rPr>
      </w:pPr>
      <w:r w:rsidRPr="00142DA3">
        <w:rPr>
          <w:rFonts w:ascii="Arial" w:hAnsi="Arial" w:cs="Arial"/>
          <w:b/>
          <w:bCs/>
          <w:sz w:val="24"/>
          <w:lang w:val="de-CH"/>
        </w:rPr>
        <w:t>Lektion 2: Theorie-Input</w:t>
      </w:r>
    </w:p>
    <w:p w:rsidR="00275A03" w:rsidRPr="00142DA3" w:rsidRDefault="00275A03" w:rsidP="00275A03">
      <w:pPr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b/>
          <w:bCs/>
          <w:sz w:val="22"/>
          <w:szCs w:val="22"/>
          <w:lang w:val="de-CH"/>
        </w:rPr>
        <w:t>Diese Lektion beinhaltet:</w:t>
      </w:r>
    </w:p>
    <w:p w:rsidR="00275A03" w:rsidRPr="00142DA3" w:rsidRDefault="00275A03" w:rsidP="00275A03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 xml:space="preserve">Eine Einführung in das sozio-/kulturlinguistische Konzept von Identität nach </w:t>
      </w:r>
      <w:proofErr w:type="spellStart"/>
      <w:r w:rsidRPr="00142DA3">
        <w:rPr>
          <w:rFonts w:ascii="Arial" w:hAnsi="Arial" w:cs="Arial"/>
          <w:sz w:val="22"/>
          <w:szCs w:val="22"/>
          <w:lang w:val="de-CH"/>
        </w:rPr>
        <w:t>Bucholtz</w:t>
      </w:r>
      <w:proofErr w:type="spellEnd"/>
      <w:r w:rsidRPr="00142DA3">
        <w:rPr>
          <w:rFonts w:ascii="Arial" w:hAnsi="Arial" w:cs="Arial"/>
          <w:sz w:val="22"/>
          <w:szCs w:val="22"/>
          <w:lang w:val="de-CH"/>
        </w:rPr>
        <w:t>/Hall (2005)</w:t>
      </w:r>
    </w:p>
    <w:p w:rsidR="00275A03" w:rsidRPr="00142DA3" w:rsidRDefault="00275A03" w:rsidP="00275A03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>Eine kurze Einführung in das Konzept der Metapragmatik</w:t>
      </w:r>
    </w:p>
    <w:p w:rsidR="00275A03" w:rsidRPr="00142DA3" w:rsidRDefault="00275A03" w:rsidP="00275A03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>Vorbereitung für die selbstständigen Analysearbeiten in Lektion 3</w:t>
      </w:r>
    </w:p>
    <w:p w:rsidR="00275A03" w:rsidRPr="00142DA3" w:rsidRDefault="00275A03" w:rsidP="00275A03">
      <w:pPr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b/>
          <w:bCs/>
          <w:sz w:val="22"/>
          <w:szCs w:val="22"/>
          <w:lang w:val="de-CH"/>
        </w:rPr>
        <w:t>Lernziele:</w:t>
      </w:r>
    </w:p>
    <w:p w:rsidR="00275A03" w:rsidRPr="00142DA3" w:rsidRDefault="00275A03" w:rsidP="00275A03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 xml:space="preserve">Die </w:t>
      </w:r>
      <w:proofErr w:type="spellStart"/>
      <w:proofErr w:type="gramStart"/>
      <w:r w:rsidRPr="00142DA3">
        <w:rPr>
          <w:rFonts w:ascii="Arial" w:hAnsi="Arial" w:cs="Arial"/>
          <w:sz w:val="22"/>
          <w:szCs w:val="22"/>
          <w:lang w:val="de-CH"/>
        </w:rPr>
        <w:t>Schüler:innen</w:t>
      </w:r>
      <w:proofErr w:type="spellEnd"/>
      <w:proofErr w:type="gramEnd"/>
      <w:r w:rsidRPr="00142DA3">
        <w:rPr>
          <w:rFonts w:ascii="Arial" w:hAnsi="Arial" w:cs="Arial"/>
          <w:sz w:val="22"/>
          <w:szCs w:val="22"/>
          <w:lang w:val="de-CH"/>
        </w:rPr>
        <w:t xml:space="preserve"> erkennen, dass Sprache bewusst oder unbewusst zur Gruppenidentitätskonstruktion genutzt wird</w:t>
      </w:r>
    </w:p>
    <w:p w:rsidR="00275A03" w:rsidRPr="00142DA3" w:rsidRDefault="00275A03" w:rsidP="00275A03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 xml:space="preserve">Die </w:t>
      </w:r>
      <w:proofErr w:type="spellStart"/>
      <w:proofErr w:type="gramStart"/>
      <w:r w:rsidRPr="00142DA3">
        <w:rPr>
          <w:rFonts w:ascii="Arial" w:hAnsi="Arial" w:cs="Arial"/>
          <w:sz w:val="22"/>
          <w:szCs w:val="22"/>
          <w:lang w:val="de-CH"/>
        </w:rPr>
        <w:t>Schüler:innen</w:t>
      </w:r>
      <w:proofErr w:type="spellEnd"/>
      <w:proofErr w:type="gramEnd"/>
      <w:r w:rsidRPr="00142DA3">
        <w:rPr>
          <w:rFonts w:ascii="Arial" w:hAnsi="Arial" w:cs="Arial"/>
          <w:sz w:val="22"/>
          <w:szCs w:val="22"/>
          <w:lang w:val="de-CH"/>
        </w:rPr>
        <w:t xml:space="preserve"> können die (verkürzte) Theorie nach </w:t>
      </w:r>
      <w:proofErr w:type="spellStart"/>
      <w:r w:rsidRPr="00142DA3">
        <w:rPr>
          <w:rFonts w:ascii="Arial" w:hAnsi="Arial" w:cs="Arial"/>
          <w:sz w:val="22"/>
          <w:szCs w:val="22"/>
          <w:lang w:val="de-CH"/>
        </w:rPr>
        <w:t>Bucholtz</w:t>
      </w:r>
      <w:proofErr w:type="spellEnd"/>
      <w:r w:rsidRPr="00142DA3">
        <w:rPr>
          <w:rFonts w:ascii="Arial" w:hAnsi="Arial" w:cs="Arial"/>
          <w:sz w:val="22"/>
          <w:szCs w:val="22"/>
          <w:lang w:val="de-CH"/>
        </w:rPr>
        <w:t>/Hall (2005) und das Konzept der Metapragmatik mit ausgewählten Beispielen verknüpfen</w:t>
      </w:r>
    </w:p>
    <w:p w:rsidR="00275A03" w:rsidRPr="00142DA3" w:rsidRDefault="00275A03" w:rsidP="00275A03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 xml:space="preserve">Die </w:t>
      </w:r>
      <w:proofErr w:type="spellStart"/>
      <w:proofErr w:type="gramStart"/>
      <w:r w:rsidRPr="00142DA3">
        <w:rPr>
          <w:rFonts w:ascii="Arial" w:hAnsi="Arial" w:cs="Arial"/>
          <w:sz w:val="22"/>
          <w:szCs w:val="22"/>
          <w:lang w:val="de-CH"/>
        </w:rPr>
        <w:t>Schüler:innen</w:t>
      </w:r>
      <w:proofErr w:type="spellEnd"/>
      <w:proofErr w:type="gramEnd"/>
      <w:r w:rsidRPr="00142DA3">
        <w:rPr>
          <w:rFonts w:ascii="Arial" w:hAnsi="Arial" w:cs="Arial"/>
          <w:sz w:val="22"/>
          <w:szCs w:val="22"/>
          <w:lang w:val="de-CH"/>
        </w:rPr>
        <w:t xml:space="preserve"> verstehen wie metapragmatische Äusserungen zur Konstruktion von Gruppenidentität beitragen können</w:t>
      </w:r>
    </w:p>
    <w:tbl>
      <w:tblPr>
        <w:tblStyle w:val="Tabellenraster"/>
        <w:tblW w:w="5307" w:type="pct"/>
        <w:jc w:val="center"/>
        <w:tblLook w:val="04A0" w:firstRow="1" w:lastRow="0" w:firstColumn="1" w:lastColumn="0" w:noHBand="0" w:noVBand="1"/>
      </w:tblPr>
      <w:tblGrid>
        <w:gridCol w:w="880"/>
        <w:gridCol w:w="3619"/>
        <w:gridCol w:w="3001"/>
        <w:gridCol w:w="2179"/>
        <w:gridCol w:w="2040"/>
        <w:gridCol w:w="1358"/>
        <w:gridCol w:w="2079"/>
      </w:tblGrid>
      <w:tr w:rsidR="00275A03" w:rsidRPr="00142DA3" w:rsidTr="0057557C">
        <w:trPr>
          <w:trHeight w:val="948"/>
          <w:jc w:val="center"/>
        </w:trPr>
        <w:tc>
          <w:tcPr>
            <w:tcW w:w="290" w:type="pct"/>
            <w:shd w:val="clear" w:color="auto" w:fill="C7E2E8"/>
            <w:vAlign w:val="center"/>
          </w:tcPr>
          <w:p w:rsidR="00275A03" w:rsidRPr="00142DA3" w:rsidRDefault="00275A03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Dauer</w:t>
            </w:r>
          </w:p>
        </w:tc>
        <w:tc>
          <w:tcPr>
            <w:tcW w:w="1194" w:type="pct"/>
            <w:shd w:val="clear" w:color="auto" w:fill="C7E2E8"/>
            <w:vAlign w:val="center"/>
          </w:tcPr>
          <w:p w:rsidR="00275A03" w:rsidRPr="00142DA3" w:rsidRDefault="00275A03" w:rsidP="0057557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Inhalt</w:t>
            </w:r>
          </w:p>
        </w:tc>
        <w:tc>
          <w:tcPr>
            <w:tcW w:w="990" w:type="pct"/>
            <w:shd w:val="clear" w:color="auto" w:fill="C7E2E8"/>
            <w:vAlign w:val="center"/>
          </w:tcPr>
          <w:p w:rsidR="00275A03" w:rsidRPr="00142DA3" w:rsidRDefault="00275A03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Ziel</w:t>
            </w:r>
          </w:p>
        </w:tc>
        <w:tc>
          <w:tcPr>
            <w:tcW w:w="719" w:type="pct"/>
            <w:shd w:val="clear" w:color="auto" w:fill="C7E2E8"/>
            <w:vAlign w:val="center"/>
          </w:tcPr>
          <w:p w:rsidR="00275A03" w:rsidRPr="00142DA3" w:rsidRDefault="00275A03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Unterlagen/Material</w:t>
            </w:r>
          </w:p>
        </w:tc>
        <w:tc>
          <w:tcPr>
            <w:tcW w:w="673" w:type="pct"/>
            <w:shd w:val="clear" w:color="auto" w:fill="C7E2E8"/>
            <w:vAlign w:val="center"/>
          </w:tcPr>
          <w:p w:rsidR="00275A03" w:rsidRPr="00142DA3" w:rsidRDefault="00275A03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Wie?</w:t>
            </w:r>
          </w:p>
        </w:tc>
        <w:tc>
          <w:tcPr>
            <w:tcW w:w="448" w:type="pct"/>
            <w:shd w:val="clear" w:color="auto" w:fill="C7E2E8"/>
            <w:vAlign w:val="center"/>
          </w:tcPr>
          <w:p w:rsidR="00275A03" w:rsidRPr="00142DA3" w:rsidRDefault="00275A03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Wer?</w:t>
            </w:r>
          </w:p>
        </w:tc>
        <w:tc>
          <w:tcPr>
            <w:tcW w:w="686" w:type="pct"/>
            <w:shd w:val="clear" w:color="auto" w:fill="C7E2E8"/>
            <w:vAlign w:val="center"/>
          </w:tcPr>
          <w:p w:rsidR="00275A03" w:rsidRPr="00142DA3" w:rsidRDefault="00275A03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Linguistische Konzepte</w:t>
            </w:r>
          </w:p>
        </w:tc>
      </w:tr>
      <w:tr w:rsidR="00275A03" w:rsidRPr="00142DA3" w:rsidTr="0057557C">
        <w:trPr>
          <w:trHeight w:val="948"/>
          <w:jc w:val="center"/>
        </w:trPr>
        <w:tc>
          <w:tcPr>
            <w:tcW w:w="2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max. 5’</w:t>
            </w:r>
          </w:p>
        </w:tc>
        <w:tc>
          <w:tcPr>
            <w:tcW w:w="1194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Kurze Zusammenfassung der wichtigsten Punkte aus Lektion 1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 xml:space="preserve"> (Identität wird in der Interaktion hergestellt)</w:t>
            </w:r>
          </w:p>
        </w:tc>
        <w:tc>
          <w:tcPr>
            <w:tcW w:w="9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Einstieg/Aktivierung von Wissen aus Lektion 1</w:t>
            </w:r>
          </w:p>
        </w:tc>
        <w:tc>
          <w:tcPr>
            <w:tcW w:w="719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</w:p>
        </w:tc>
        <w:tc>
          <w:tcPr>
            <w:tcW w:w="673" w:type="pct"/>
            <w:vAlign w:val="center"/>
          </w:tcPr>
          <w:p w:rsidR="00275A03" w:rsidRPr="00142DA3" w:rsidRDefault="00275A03" w:rsidP="0057557C">
            <w:pPr>
              <w:pStyle w:val="Listenabsatz"/>
              <w:ind w:left="0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Plenum</w:t>
            </w:r>
          </w:p>
        </w:tc>
        <w:tc>
          <w:tcPr>
            <w:tcW w:w="448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</w:t>
            </w:r>
          </w:p>
        </w:tc>
        <w:tc>
          <w:tcPr>
            <w:tcW w:w="686" w:type="pct"/>
            <w:vAlign w:val="center"/>
          </w:tcPr>
          <w:p w:rsidR="00275A03" w:rsidRPr="00142DA3" w:rsidRDefault="00275A03" w:rsidP="0057557C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–</w:t>
            </w:r>
          </w:p>
        </w:tc>
      </w:tr>
      <w:tr w:rsidR="00275A03" w:rsidRPr="00142DA3" w:rsidTr="0057557C">
        <w:trPr>
          <w:trHeight w:val="948"/>
          <w:jc w:val="center"/>
        </w:trPr>
        <w:tc>
          <w:tcPr>
            <w:tcW w:w="2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15’</w:t>
            </w:r>
          </w:p>
        </w:tc>
        <w:tc>
          <w:tcPr>
            <w:tcW w:w="1194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Identität aus sprachwissenschaftlicher Sicht untersuchen: die 5 Prinzipien der Identitätskonstruktion in der Interaktion und die daraus abgeleiteten Prinzipien von Zugehörigkeit und Abgrenzung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 xml:space="preserve"> (s. Hinweise für LP, S. 4-8)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. Input durch die LP und PPP S. 6+7. </w:t>
            </w:r>
          </w:p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 xml:space="preserve">Frage an die SuS: Welche der Strategien von Zugehörigkeit/Abgrenzung haben Sie bereits beobachtet oder erlebt? (PPP S. 7). Die SuS besprechen 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 xml:space="preserve">sich 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kurz in 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Zweiergruppen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 (</w:t>
            </w:r>
            <w:proofErr w:type="spellStart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Sitznachbar:in</w:t>
            </w:r>
            <w:proofErr w:type="spellEnd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)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.</w:t>
            </w:r>
          </w:p>
        </w:tc>
        <w:tc>
          <w:tcPr>
            <w:tcW w:w="9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>Verständnis der 5 Prinzipien; Verknüpfung mit dem eigenen Alltag</w:t>
            </w:r>
          </w:p>
        </w:tc>
        <w:tc>
          <w:tcPr>
            <w:tcW w:w="719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PPP S. 6-7</w:t>
            </w:r>
          </w:p>
        </w:tc>
        <w:tc>
          <w:tcPr>
            <w:tcW w:w="673" w:type="pct"/>
            <w:vAlign w:val="center"/>
          </w:tcPr>
          <w:p w:rsidR="00275A03" w:rsidRPr="00142DA3" w:rsidRDefault="00275A03" w:rsidP="0057557C">
            <w:pPr>
              <w:pStyle w:val="Listenabsatz"/>
              <w:ind w:left="0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Input LP / 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2-er-G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ruppen</w:t>
            </w:r>
          </w:p>
        </w:tc>
        <w:tc>
          <w:tcPr>
            <w:tcW w:w="448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 / Klasse</w:t>
            </w:r>
          </w:p>
        </w:tc>
        <w:tc>
          <w:tcPr>
            <w:tcW w:w="686" w:type="pct"/>
            <w:vAlign w:val="center"/>
          </w:tcPr>
          <w:p w:rsidR="00275A03" w:rsidRPr="00142DA3" w:rsidRDefault="00275A03" w:rsidP="0057557C">
            <w:pPr>
              <w:pStyle w:val="Listenabsatz"/>
              <w:ind w:left="-15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142DA3">
              <w:rPr>
                <w:rFonts w:ascii="Arial" w:hAnsi="Arial" w:cs="Arial"/>
                <w:color w:val="000000" w:themeColor="text1"/>
                <w:lang w:val="en-US"/>
              </w:rPr>
              <w:t>Bucholtz</w:t>
            </w:r>
            <w:proofErr w:type="spellEnd"/>
            <w:r w:rsidRPr="00142DA3">
              <w:rPr>
                <w:rFonts w:ascii="Arial" w:hAnsi="Arial" w:cs="Arial"/>
                <w:color w:val="000000" w:themeColor="text1"/>
                <w:lang w:val="en-US"/>
              </w:rPr>
              <w:t>/Hall (2005): Identity and Interaction</w:t>
            </w:r>
          </w:p>
        </w:tc>
      </w:tr>
      <w:tr w:rsidR="00275A03" w:rsidRPr="00142DA3" w:rsidTr="0057557C">
        <w:trPr>
          <w:trHeight w:val="948"/>
          <w:jc w:val="center"/>
        </w:trPr>
        <w:tc>
          <w:tcPr>
            <w:tcW w:w="2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5’</w:t>
            </w:r>
          </w:p>
        </w:tc>
        <w:tc>
          <w:tcPr>
            <w:tcW w:w="1194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Strategien der Zugehörigkeit: Beispiele aus der Fussballfankommunikation auf PPP S. 8. Die Beispiele werden im Plenum mithilfe der Impulsfragen diskutiert:</w:t>
            </w:r>
          </w:p>
          <w:p w:rsidR="00275A03" w:rsidRPr="00142DA3" w:rsidRDefault="00275A03" w:rsidP="00275A03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Wie wird über «die anderen» gesprochen/geschrieben?</w:t>
            </w:r>
          </w:p>
          <w:p w:rsidR="00275A03" w:rsidRPr="00142DA3" w:rsidRDefault="00275A03" w:rsidP="00275A03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Welche Wörter/Bezeichnungen fallen auf?</w:t>
            </w:r>
          </w:p>
          <w:p w:rsidR="00275A03" w:rsidRPr="00142DA3" w:rsidRDefault="00275A03" w:rsidP="00275A03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Welche Wirkung haben Dialekt, Emojis oder Übernamen?</w:t>
            </w:r>
          </w:p>
          <w:p w:rsidR="00275A03" w:rsidRPr="00142DA3" w:rsidRDefault="00275A03" w:rsidP="00275A03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Personalpronomen «Wir»: Wann schliesst es wen ein, wen aus? Welche Wirkung hat das?</w:t>
            </w:r>
          </w:p>
        </w:tc>
        <w:tc>
          <w:tcPr>
            <w:tcW w:w="9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Verbindung zwischen Theorie und Fussballkontext herstellen</w:t>
            </w:r>
          </w:p>
        </w:tc>
        <w:tc>
          <w:tcPr>
            <w:tcW w:w="719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lang w:val="de-CH"/>
              </w:rPr>
              <w:t>PPP S. 8</w:t>
            </w:r>
          </w:p>
        </w:tc>
        <w:tc>
          <w:tcPr>
            <w:tcW w:w="673" w:type="pct"/>
            <w:vAlign w:val="center"/>
          </w:tcPr>
          <w:p w:rsidR="00275A03" w:rsidRPr="00142DA3" w:rsidRDefault="00275A03" w:rsidP="0057557C">
            <w:pPr>
              <w:pStyle w:val="Listenabsatz"/>
              <w:ind w:left="0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Plenumsgespräch</w:t>
            </w:r>
          </w:p>
        </w:tc>
        <w:tc>
          <w:tcPr>
            <w:tcW w:w="448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 + Klasse</w:t>
            </w:r>
          </w:p>
        </w:tc>
        <w:tc>
          <w:tcPr>
            <w:tcW w:w="686" w:type="pct"/>
            <w:vAlign w:val="center"/>
          </w:tcPr>
          <w:p w:rsidR="00275A03" w:rsidRPr="000B6D0B" w:rsidRDefault="00275A03" w:rsidP="0057557C">
            <w:pPr>
              <w:pStyle w:val="Listenabsatz"/>
              <w:ind w:left="-15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142DA3">
              <w:rPr>
                <w:rFonts w:ascii="Arial" w:hAnsi="Arial" w:cs="Arial"/>
                <w:color w:val="000000" w:themeColor="text1"/>
                <w:lang w:val="en-US"/>
              </w:rPr>
              <w:t>Bucholtz</w:t>
            </w:r>
            <w:proofErr w:type="spellEnd"/>
            <w:r w:rsidRPr="00142DA3">
              <w:rPr>
                <w:rFonts w:ascii="Arial" w:hAnsi="Arial" w:cs="Arial"/>
                <w:color w:val="000000" w:themeColor="text1"/>
                <w:lang w:val="en-US"/>
              </w:rPr>
              <w:t>/Hall (2005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a/b</w:t>
            </w:r>
            <w:r w:rsidRPr="00142DA3">
              <w:rPr>
                <w:rFonts w:ascii="Arial" w:hAnsi="Arial" w:cs="Arial"/>
                <w:color w:val="000000" w:themeColor="text1"/>
                <w:lang w:val="en-US"/>
              </w:rPr>
              <w:t>): Identity and Interaction</w:t>
            </w:r>
            <w:r w:rsidRPr="000B6D0B">
              <w:rPr>
                <w:rFonts w:ascii="Arial" w:hAnsi="Arial" w:cs="Arial"/>
                <w:color w:val="000000" w:themeColor="text1"/>
                <w:lang w:val="en-US"/>
              </w:rPr>
              <w:t xml:space="preserve"> / Tactics of Intersubjectivity</w:t>
            </w:r>
          </w:p>
        </w:tc>
      </w:tr>
      <w:tr w:rsidR="00275A03" w:rsidRPr="00142DA3" w:rsidTr="0057557C">
        <w:trPr>
          <w:trHeight w:val="948"/>
          <w:jc w:val="center"/>
        </w:trPr>
        <w:tc>
          <w:tcPr>
            <w:tcW w:w="2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3-5’</w:t>
            </w:r>
          </w:p>
        </w:tc>
        <w:tc>
          <w:tcPr>
            <w:tcW w:w="1194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Einführung in die Metapragmatik durch einen Input der LP.</w:t>
            </w:r>
          </w:p>
        </w:tc>
        <w:tc>
          <w:tcPr>
            <w:tcW w:w="9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proofErr w:type="spellStart"/>
            <w:proofErr w:type="gramStart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Schüler:innen</w:t>
            </w:r>
            <w:proofErr w:type="spellEnd"/>
            <w:proofErr w:type="gramEnd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 erkennen, wie sprachliche Normen und Bewertungen Zugehörigkeit bzw. Abgrenzung markieren</w:t>
            </w:r>
          </w:p>
        </w:tc>
        <w:tc>
          <w:tcPr>
            <w:tcW w:w="719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PPP S. 9</w:t>
            </w:r>
          </w:p>
        </w:tc>
        <w:tc>
          <w:tcPr>
            <w:tcW w:w="673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Plenum</w:t>
            </w:r>
          </w:p>
        </w:tc>
        <w:tc>
          <w:tcPr>
            <w:tcW w:w="448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</w:t>
            </w:r>
          </w:p>
        </w:tc>
        <w:tc>
          <w:tcPr>
            <w:tcW w:w="686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Spitzmüller (2013, 2019): Metapragmatik</w:t>
            </w:r>
          </w:p>
        </w:tc>
      </w:tr>
      <w:tr w:rsidR="00275A03" w:rsidRPr="00142DA3" w:rsidTr="0057557C">
        <w:trPr>
          <w:trHeight w:val="948"/>
          <w:jc w:val="center"/>
        </w:trPr>
        <w:tc>
          <w:tcPr>
            <w:tcW w:w="2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>5’</w:t>
            </w:r>
          </w:p>
        </w:tc>
        <w:tc>
          <w:tcPr>
            <w:tcW w:w="1194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Beispiele zur Metapragmatik aus der online Fussballfankommunikation (PPP S.10), Impulsfragen zuerst in Zweiergruppen, dann im Plenum besprechen.</w:t>
            </w:r>
          </w:p>
        </w:tc>
        <w:tc>
          <w:tcPr>
            <w:tcW w:w="9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proofErr w:type="spellStart"/>
            <w:proofErr w:type="gramStart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Schüler:innen</w:t>
            </w:r>
            <w:proofErr w:type="spellEnd"/>
            <w:proofErr w:type="gramEnd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 können anhand ausgewählter Beispiele metapragmatische Kommentare erkennen und ihre Funktion beschreiben</w:t>
            </w:r>
          </w:p>
        </w:tc>
        <w:tc>
          <w:tcPr>
            <w:tcW w:w="719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lang w:val="de-CH"/>
              </w:rPr>
              <w:t>PPP S. 10</w:t>
            </w:r>
          </w:p>
        </w:tc>
        <w:tc>
          <w:tcPr>
            <w:tcW w:w="673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lang w:val="de-CH"/>
              </w:rPr>
              <w:t>2-er-Gruppen / Plenum</w:t>
            </w:r>
          </w:p>
        </w:tc>
        <w:tc>
          <w:tcPr>
            <w:tcW w:w="448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lang w:val="de-CH"/>
              </w:rPr>
              <w:t>SuS</w:t>
            </w:r>
          </w:p>
        </w:tc>
        <w:tc>
          <w:tcPr>
            <w:tcW w:w="686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</w:p>
        </w:tc>
      </w:tr>
      <w:tr w:rsidR="00275A03" w:rsidRPr="00142DA3" w:rsidTr="0057557C">
        <w:trPr>
          <w:trHeight w:val="948"/>
          <w:jc w:val="center"/>
        </w:trPr>
        <w:tc>
          <w:tcPr>
            <w:tcW w:w="290" w:type="pct"/>
            <w:vAlign w:val="center"/>
          </w:tcPr>
          <w:p w:rsidR="00275A03" w:rsidRPr="00B91DC2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10-15’</w:t>
            </w:r>
          </w:p>
        </w:tc>
        <w:tc>
          <w:tcPr>
            <w:tcW w:w="1194" w:type="pct"/>
            <w:vAlign w:val="center"/>
          </w:tcPr>
          <w:p w:rsidR="00275A03" w:rsidRPr="00B91DC2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Theoriemerkblatt: Die </w:t>
            </w:r>
            <w:proofErr w:type="spellStart"/>
            <w:proofErr w:type="gramStart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Schüler:innen</w:t>
            </w:r>
            <w:proofErr w:type="spellEnd"/>
            <w:proofErr w:type="gramEnd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 füllen die Lücken im Theoriemerkblatt und schreiben sich Beispiele auf (eigene oder solche, die zuvor auf der PPP gezeigt wurden). Danach tauschen sich die SuS in Zweiergruppen aus. </w:t>
            </w:r>
          </w:p>
          <w:p w:rsidR="00275A03" w:rsidRPr="00B91DC2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Optional: die </w:t>
            </w:r>
            <w:proofErr w:type="spellStart"/>
            <w:proofErr w:type="gramStart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Schüler:innen</w:t>
            </w:r>
            <w:proofErr w:type="spellEnd"/>
            <w:proofErr w:type="gramEnd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 schreiben ihre Beispiele in ein </w:t>
            </w:r>
            <w:proofErr w:type="spellStart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Padlet</w:t>
            </w:r>
            <w:proofErr w:type="spellEnd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, ohne die Strategie zu nennen. Die anderen müssen dann zuordnen, und </w:t>
            </w:r>
            <w:proofErr w:type="spellStart"/>
            <w:proofErr w:type="gramStart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der:die</w:t>
            </w:r>
            <w:proofErr w:type="spellEnd"/>
            <w:proofErr w:type="gramEnd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 </w:t>
            </w:r>
            <w:proofErr w:type="spellStart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Verfasser:in</w:t>
            </w:r>
            <w:proofErr w:type="spellEnd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 begründet ihr Beispiel.</w:t>
            </w:r>
          </w:p>
        </w:tc>
        <w:tc>
          <w:tcPr>
            <w:tcW w:w="990" w:type="pct"/>
            <w:vAlign w:val="center"/>
          </w:tcPr>
          <w:p w:rsidR="00275A03" w:rsidRPr="00B91DC2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Die </w:t>
            </w:r>
            <w:proofErr w:type="spellStart"/>
            <w:proofErr w:type="gramStart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Schüler:innen</w:t>
            </w:r>
            <w:proofErr w:type="spellEnd"/>
            <w:proofErr w:type="gramEnd"/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 xml:space="preserve"> vertiefen das Verständnis zentraler theoretischer Begriffe und können diese mit passenden Beispielen verknüpfen (Prinzipien der Identität, Strategien der Zugehörigkeit und Abgrenzung, Metapragmatik) </w:t>
            </w:r>
          </w:p>
        </w:tc>
        <w:tc>
          <w:tcPr>
            <w:tcW w:w="719" w:type="pct"/>
            <w:vAlign w:val="center"/>
          </w:tcPr>
          <w:p w:rsidR="00275A03" w:rsidRPr="00B91DC2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Theoriemerkblatt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 xml:space="preserve"> (optional: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de-CH"/>
              </w:rPr>
              <w:t>Padlet</w:t>
            </w:r>
            <w:proofErr w:type="spellEnd"/>
            <w:r>
              <w:rPr>
                <w:rFonts w:ascii="Arial" w:hAnsi="Arial" w:cs="Arial"/>
                <w:color w:val="000000" w:themeColor="text1"/>
                <w:lang w:val="de-CH"/>
              </w:rPr>
              <w:t>)</w:t>
            </w:r>
          </w:p>
        </w:tc>
        <w:tc>
          <w:tcPr>
            <w:tcW w:w="673" w:type="pct"/>
            <w:vAlign w:val="center"/>
          </w:tcPr>
          <w:p w:rsidR="00275A03" w:rsidRPr="00B91DC2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Einzelarbeit / 2-er-Gruppen</w:t>
            </w:r>
          </w:p>
        </w:tc>
        <w:tc>
          <w:tcPr>
            <w:tcW w:w="448" w:type="pct"/>
            <w:vAlign w:val="center"/>
          </w:tcPr>
          <w:p w:rsidR="00275A03" w:rsidRPr="00B91DC2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B91DC2">
              <w:rPr>
                <w:rFonts w:ascii="Arial" w:hAnsi="Arial" w:cs="Arial"/>
                <w:color w:val="000000" w:themeColor="text1"/>
                <w:lang w:val="de-CH"/>
              </w:rPr>
              <w:t>SuS</w:t>
            </w:r>
          </w:p>
        </w:tc>
        <w:tc>
          <w:tcPr>
            <w:tcW w:w="686" w:type="pct"/>
            <w:vAlign w:val="center"/>
          </w:tcPr>
          <w:p w:rsidR="00275A03" w:rsidRPr="00EB2B99" w:rsidRDefault="00275A03" w:rsidP="0057557C">
            <w:pPr>
              <w:rPr>
                <w:rFonts w:ascii="Arial" w:hAnsi="Arial" w:cs="Arial"/>
                <w:color w:val="000000" w:themeColor="text1"/>
                <w:highlight w:val="yellow"/>
                <w:lang w:val="de-CH"/>
              </w:rPr>
            </w:pPr>
          </w:p>
        </w:tc>
      </w:tr>
      <w:tr w:rsidR="00275A03" w:rsidRPr="00142DA3" w:rsidTr="0057557C">
        <w:trPr>
          <w:trHeight w:val="948"/>
          <w:jc w:val="center"/>
        </w:trPr>
        <w:tc>
          <w:tcPr>
            <w:tcW w:w="2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5’</w:t>
            </w:r>
          </w:p>
        </w:tc>
        <w:tc>
          <w:tcPr>
            <w:tcW w:w="1194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Abschluss: zentrale Punkte sichern und offene Fragen klären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, sicherstellen, dass alle das Theoriemerkblatt ausgefüllt haben (vgl. Lektion 3)</w:t>
            </w:r>
          </w:p>
        </w:tc>
        <w:tc>
          <w:tcPr>
            <w:tcW w:w="990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Vorbereitung auf die Anwendung in Lektion 3</w:t>
            </w:r>
          </w:p>
        </w:tc>
        <w:tc>
          <w:tcPr>
            <w:tcW w:w="719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PPP S. 1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1</w:t>
            </w:r>
          </w:p>
        </w:tc>
        <w:tc>
          <w:tcPr>
            <w:tcW w:w="673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Plenum</w:t>
            </w:r>
          </w:p>
        </w:tc>
        <w:tc>
          <w:tcPr>
            <w:tcW w:w="448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 + Klasse</w:t>
            </w:r>
          </w:p>
        </w:tc>
        <w:tc>
          <w:tcPr>
            <w:tcW w:w="686" w:type="pct"/>
            <w:vAlign w:val="center"/>
          </w:tcPr>
          <w:p w:rsidR="00275A03" w:rsidRPr="00142DA3" w:rsidRDefault="00275A03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–</w:t>
            </w:r>
          </w:p>
        </w:tc>
      </w:tr>
    </w:tbl>
    <w:p w:rsidR="00D5435B" w:rsidRPr="00275A03" w:rsidRDefault="00D5435B" w:rsidP="00275A03"/>
    <w:sectPr w:rsidR="00D5435B" w:rsidRPr="00275A03" w:rsidSect="007C363B">
      <w:headerReference w:type="default" r:id="rId7"/>
      <w:footerReference w:type="default" r:id="rId8"/>
      <w:pgSz w:w="16840" w:h="11900" w:orient="landscape"/>
      <w:pgMar w:top="1781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0116" w:rsidRDefault="00280116" w:rsidP="00111B13">
      <w:pPr>
        <w:spacing w:after="0" w:line="240" w:lineRule="auto"/>
      </w:pPr>
      <w:r>
        <w:separator/>
      </w:r>
    </w:p>
  </w:endnote>
  <w:endnote w:type="continuationSeparator" w:id="0">
    <w:p w:rsidR="00280116" w:rsidRDefault="00280116" w:rsidP="00111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Light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60784409"/>
      <w:docPartObj>
        <w:docPartGallery w:val="Page Numbers (Bottom of Page)"/>
        <w:docPartUnique/>
      </w:docPartObj>
    </w:sdtPr>
    <w:sdtContent>
      <w:p w:rsidR="00111B13" w:rsidRDefault="00111B13" w:rsidP="00111B13">
        <w:pPr>
          <w:pStyle w:val="Fuzeile"/>
          <w:jc w:val="right"/>
          <w:rPr>
            <w:rStyle w:val="Seitenzahl"/>
          </w:rPr>
        </w:pPr>
        <w:r w:rsidRPr="00AA4C2B">
          <w:rPr>
            <w:rStyle w:val="Seitenzahl"/>
            <w:rFonts w:ascii="Arial" w:hAnsi="Arial" w:cs="Arial"/>
            <w:sz w:val="24"/>
          </w:rPr>
          <w:fldChar w:fldCharType="begin"/>
        </w:r>
        <w:r w:rsidRPr="00AA4C2B">
          <w:rPr>
            <w:rStyle w:val="Seitenzahl"/>
            <w:rFonts w:ascii="Arial" w:hAnsi="Arial" w:cs="Arial"/>
            <w:sz w:val="24"/>
          </w:rPr>
          <w:instrText xml:space="preserve"> PAGE </w:instrText>
        </w:r>
        <w:r w:rsidRPr="00AA4C2B"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 w:rsidRPr="00AA4C2B">
          <w:rPr>
            <w:rStyle w:val="Seitenzahl"/>
            <w:rFonts w:ascii="Arial" w:hAnsi="Arial" w:cs="Arial"/>
            <w:sz w:val="24"/>
          </w:rPr>
          <w:fldChar w:fldCharType="end"/>
        </w:r>
        <w:r>
          <w:rPr>
            <w:rStyle w:val="Seitenzahl"/>
            <w:rFonts w:ascii="Arial" w:hAnsi="Arial" w:cs="Arial"/>
            <w:sz w:val="24"/>
          </w:rPr>
          <w:t>/</w:t>
        </w: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NUMPAGES  \* MERGEFORMAT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</w:p>
    </w:sdtContent>
  </w:sdt>
  <w:p w:rsidR="00111B13" w:rsidRDefault="00111B13" w:rsidP="00111B13">
    <w:pPr>
      <w:pStyle w:val="Fuzeile"/>
      <w:tabs>
        <w:tab w:val="clear" w:pos="4536"/>
        <w:tab w:val="clear" w:pos="9072"/>
        <w:tab w:val="left" w:pos="134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0116" w:rsidRDefault="00280116" w:rsidP="00111B13">
      <w:pPr>
        <w:spacing w:after="0" w:line="240" w:lineRule="auto"/>
      </w:pPr>
      <w:r>
        <w:separator/>
      </w:r>
    </w:p>
  </w:footnote>
  <w:footnote w:type="continuationSeparator" w:id="0">
    <w:p w:rsidR="00280116" w:rsidRDefault="00280116" w:rsidP="00111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1B13" w:rsidRPr="007062CF" w:rsidRDefault="00807977" w:rsidP="00111B13">
    <w:pPr>
      <w:pStyle w:val="Kopfzeile"/>
    </w:pPr>
    <w:r w:rsidRPr="007062CF"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639FE547" wp14:editId="082BC557">
          <wp:simplePos x="0" y="0"/>
          <wp:positionH relativeFrom="column">
            <wp:posOffset>-811763</wp:posOffset>
          </wp:positionH>
          <wp:positionV relativeFrom="paragraph">
            <wp:posOffset>-364528</wp:posOffset>
          </wp:positionV>
          <wp:extent cx="949960" cy="899583"/>
          <wp:effectExtent l="0" t="0" r="3175" b="0"/>
          <wp:wrapNone/>
          <wp:docPr id="64017443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/>
                </pic:blipFill>
                <pic:spPr bwMode="auto">
                  <a:xfrm>
                    <a:off x="0" y="0"/>
                    <a:ext cx="949960" cy="8995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1B13" w:rsidRPr="007062CF">
      <w:tab/>
    </w:r>
    <w:r w:rsidR="00111B13" w:rsidRPr="007062CF">
      <w:tab/>
      <w:t xml:space="preserve"> </w:t>
    </w:r>
  </w:p>
  <w:p w:rsidR="00111B13" w:rsidRDefault="00111B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B60F7"/>
    <w:multiLevelType w:val="multilevel"/>
    <w:tmpl w:val="4C108C5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716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03"/>
    <w:rsid w:val="000A22C7"/>
    <w:rsid w:val="00111B13"/>
    <w:rsid w:val="001C1332"/>
    <w:rsid w:val="00202758"/>
    <w:rsid w:val="00225037"/>
    <w:rsid w:val="00275A03"/>
    <w:rsid w:val="00280116"/>
    <w:rsid w:val="002875D5"/>
    <w:rsid w:val="00351F2E"/>
    <w:rsid w:val="00391AAC"/>
    <w:rsid w:val="00431DC2"/>
    <w:rsid w:val="004833EE"/>
    <w:rsid w:val="005C4A32"/>
    <w:rsid w:val="00642E37"/>
    <w:rsid w:val="0065199B"/>
    <w:rsid w:val="00657324"/>
    <w:rsid w:val="006E5B21"/>
    <w:rsid w:val="006F5CFB"/>
    <w:rsid w:val="007062CF"/>
    <w:rsid w:val="00734EF1"/>
    <w:rsid w:val="007C363B"/>
    <w:rsid w:val="00807977"/>
    <w:rsid w:val="00845C66"/>
    <w:rsid w:val="00884065"/>
    <w:rsid w:val="008C7277"/>
    <w:rsid w:val="009141C4"/>
    <w:rsid w:val="0097554F"/>
    <w:rsid w:val="009B0031"/>
    <w:rsid w:val="009B7474"/>
    <w:rsid w:val="00A16FD6"/>
    <w:rsid w:val="00A43537"/>
    <w:rsid w:val="00AB049C"/>
    <w:rsid w:val="00AB1FE0"/>
    <w:rsid w:val="00BA0A6C"/>
    <w:rsid w:val="00BF57C9"/>
    <w:rsid w:val="00C3698D"/>
    <w:rsid w:val="00CE65A2"/>
    <w:rsid w:val="00D5435B"/>
    <w:rsid w:val="00DF7444"/>
    <w:rsid w:val="00E00030"/>
    <w:rsid w:val="00E127AA"/>
    <w:rsid w:val="00E5757D"/>
    <w:rsid w:val="00E76EE2"/>
    <w:rsid w:val="00EB507F"/>
    <w:rsid w:val="00FB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6DB76F"/>
  <w15:chartTrackingRefBased/>
  <w15:docId w15:val="{0A990AE9-A0DC-AC4C-9F4B-0D44E9C4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kern w:val="2"/>
        <w:sz w:val="24"/>
        <w:szCs w:val="3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75A03"/>
    <w:pPr>
      <w:spacing w:after="160" w:line="278" w:lineRule="auto"/>
    </w:pPr>
    <w:rPr>
      <w:rFonts w:ascii="Aptos Light" w:hAnsi="Aptos Light" w:cstheme="minorBidi"/>
      <w:color w:val="auto"/>
      <w:kern w:val="0"/>
      <w:sz w:val="21"/>
      <w:szCs w:val="24"/>
      <w:lang w:val="it-CH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049C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berschrift1"/>
    <w:qFormat/>
    <w:rsid w:val="00AB049C"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B049C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111B13"/>
    <w:pPr>
      <w:ind w:left="720"/>
      <w:contextualSpacing/>
    </w:pPr>
  </w:style>
  <w:style w:type="table" w:styleId="Tabellenraster">
    <w:name w:val="Table Grid"/>
    <w:basedOn w:val="NormaleTabelle"/>
    <w:uiPriority w:val="39"/>
    <w:rsid w:val="00111B13"/>
    <w:rPr>
      <w:rFonts w:asciiTheme="minorHAnsi" w:hAnsiTheme="minorHAnsi" w:cstheme="minorBidi"/>
      <w:color w:val="auto"/>
      <w:szCs w:val="24"/>
      <w:lang w:val="it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11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1B13"/>
    <w:rPr>
      <w:rFonts w:ascii="Aptos Light" w:hAnsi="Aptos Light" w:cstheme="minorBidi"/>
      <w:color w:val="auto"/>
      <w:sz w:val="21"/>
      <w:szCs w:val="24"/>
      <w:lang w:val="it-CH"/>
    </w:rPr>
  </w:style>
  <w:style w:type="paragraph" w:styleId="Fuzeile">
    <w:name w:val="footer"/>
    <w:basedOn w:val="Standard"/>
    <w:link w:val="FuzeileZchn"/>
    <w:uiPriority w:val="99"/>
    <w:unhideWhenUsed/>
    <w:rsid w:val="00111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1B13"/>
    <w:rPr>
      <w:rFonts w:ascii="Aptos Light" w:hAnsi="Aptos Light" w:cstheme="minorBidi"/>
      <w:color w:val="auto"/>
      <w:sz w:val="21"/>
      <w:szCs w:val="24"/>
      <w:lang w:val="it-CH"/>
    </w:rPr>
  </w:style>
  <w:style w:type="character" w:styleId="Seitenzahl">
    <w:name w:val="page number"/>
    <w:basedOn w:val="Absatz-Standardschriftart"/>
    <w:uiPriority w:val="99"/>
    <w:semiHidden/>
    <w:unhideWhenUsed/>
    <w:rsid w:val="00111B13"/>
  </w:style>
  <w:style w:type="character" w:styleId="Hyperlink">
    <w:name w:val="Hyperlink"/>
    <w:basedOn w:val="Absatz-Standardschriftart"/>
    <w:uiPriority w:val="99"/>
    <w:unhideWhenUsed/>
    <w:rsid w:val="007062CF"/>
    <w:rPr>
      <w:color w:val="4EB4B3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062C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062CF"/>
    <w:rPr>
      <w:color w:val="1B09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uliefragniere/Library/Group%20Containers/UBF8T346G9.Office/User%20Content.localized/Templates.localized/LingEdu_Lektionsplan_Template_D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LingEdu_Lektionsplan_Template_D.dotx</Template>
  <TotalTime>0</TotalTime>
  <Pages>3</Pages>
  <Words>482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Fragniere</dc:creator>
  <cp:keywords/>
  <dc:description/>
  <cp:lastModifiedBy>Julie Fragniere</cp:lastModifiedBy>
  <cp:revision>1</cp:revision>
  <dcterms:created xsi:type="dcterms:W3CDTF">2026-01-23T10:45:00Z</dcterms:created>
  <dcterms:modified xsi:type="dcterms:W3CDTF">2026-01-23T10:46:00Z</dcterms:modified>
</cp:coreProperties>
</file>